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2DCE8">
      <w:pPr>
        <w:spacing w:line="640" w:lineRule="exact"/>
        <w:ind w:firstLine="883" w:firstLineChars="200"/>
        <w:jc w:val="center"/>
        <w:rPr>
          <w:rFonts w:hint="eastAsia" w:ascii="仿宋_GB2312" w:eastAsia="仿宋_GB2312"/>
          <w:b/>
          <w:sz w:val="44"/>
          <w:szCs w:val="44"/>
        </w:rPr>
      </w:pPr>
      <w:r>
        <w:rPr>
          <w:rFonts w:hint="eastAsia" w:ascii="仿宋_GB2312" w:eastAsia="仿宋_GB2312"/>
          <w:b/>
          <w:sz w:val="44"/>
          <w:szCs w:val="44"/>
        </w:rPr>
        <w:t>西藏自治区地方标准</w:t>
      </w:r>
    </w:p>
    <w:p w14:paraId="04CB4983">
      <w:pPr>
        <w:spacing w:line="640" w:lineRule="exact"/>
        <w:ind w:firstLine="883" w:firstLineChars="200"/>
        <w:jc w:val="center"/>
        <w:outlineLvl w:val="0"/>
        <w:rPr>
          <w:rFonts w:hint="eastAsia" w:ascii="仿宋_GB2312" w:eastAsia="仿宋_GB2312"/>
          <w:b/>
          <w:sz w:val="44"/>
          <w:szCs w:val="44"/>
        </w:rPr>
      </w:pPr>
      <w:bookmarkStart w:id="0" w:name="_Toc8406"/>
      <w:bookmarkStart w:id="1" w:name="_Toc558"/>
      <w:bookmarkStart w:id="2" w:name="_Toc5887"/>
      <w:bookmarkStart w:id="3" w:name="_Toc24957"/>
      <w:bookmarkStart w:id="4" w:name="_Toc23304"/>
      <w:r>
        <w:rPr>
          <w:rFonts w:hint="eastAsia" w:ascii="仿宋_GB2312" w:eastAsia="仿宋_GB2312"/>
          <w:b/>
          <w:sz w:val="44"/>
          <w:szCs w:val="44"/>
        </w:rPr>
        <w:t>《</w:t>
      </w:r>
      <w:r>
        <w:rPr>
          <w:rFonts w:hint="eastAsia" w:ascii="仿宋_GB2312" w:eastAsia="仿宋_GB2312"/>
          <w:b/>
          <w:sz w:val="44"/>
          <w:szCs w:val="44"/>
          <w:lang w:val="en-US" w:eastAsia="zh-CN"/>
        </w:rPr>
        <w:t>巨柏无性繁殖技术规程 第3部分：组培</w:t>
      </w:r>
      <w:r>
        <w:rPr>
          <w:rFonts w:hint="eastAsia" w:ascii="仿宋_GB2312" w:eastAsia="仿宋_GB2312"/>
          <w:b/>
          <w:sz w:val="44"/>
          <w:szCs w:val="44"/>
        </w:rPr>
        <w:t>》编制说明</w:t>
      </w:r>
      <w:bookmarkEnd w:id="0"/>
      <w:bookmarkEnd w:id="1"/>
      <w:bookmarkEnd w:id="2"/>
      <w:bookmarkEnd w:id="3"/>
      <w:bookmarkEnd w:id="4"/>
    </w:p>
    <w:p w14:paraId="6EF17665">
      <w:pPr>
        <w:spacing w:line="640" w:lineRule="exact"/>
        <w:ind w:firstLine="883" w:firstLineChars="200"/>
        <w:rPr>
          <w:rFonts w:hint="eastAsia" w:ascii="仿宋_GB2312" w:eastAsia="仿宋_GB2312"/>
          <w:b/>
          <w:sz w:val="44"/>
          <w:szCs w:val="44"/>
        </w:rPr>
      </w:pPr>
    </w:p>
    <w:p w14:paraId="73E82AA3">
      <w:pPr>
        <w:spacing w:line="640" w:lineRule="exact"/>
        <w:ind w:firstLine="883" w:firstLineChars="200"/>
        <w:rPr>
          <w:rFonts w:hint="eastAsia" w:ascii="仿宋_GB2312" w:eastAsia="仿宋_GB2312"/>
          <w:b/>
          <w:sz w:val="44"/>
          <w:szCs w:val="44"/>
        </w:rPr>
      </w:pPr>
    </w:p>
    <w:p w14:paraId="6ECD8FB0">
      <w:pPr>
        <w:spacing w:line="640" w:lineRule="exact"/>
        <w:ind w:firstLine="883" w:firstLineChars="200"/>
        <w:rPr>
          <w:rFonts w:hint="eastAsia" w:ascii="仿宋_GB2312" w:eastAsia="仿宋_GB2312"/>
          <w:b/>
          <w:sz w:val="44"/>
          <w:szCs w:val="44"/>
        </w:rPr>
      </w:pPr>
    </w:p>
    <w:p w14:paraId="7C86FFE0">
      <w:pPr>
        <w:spacing w:line="640" w:lineRule="exact"/>
        <w:rPr>
          <w:rFonts w:hint="eastAsia" w:ascii="宋体" w:hAnsi="宋体"/>
          <w:sz w:val="32"/>
          <w:szCs w:val="32"/>
          <w:u w:val="single"/>
        </w:rPr>
      </w:pPr>
      <w:r>
        <w:rPr>
          <w:rFonts w:hint="eastAsia" w:ascii="宋体" w:hAnsi="宋体"/>
          <w:b/>
          <w:sz w:val="32"/>
          <w:szCs w:val="32"/>
        </w:rPr>
        <w:t xml:space="preserve">标 准 名 称 ： </w:t>
      </w:r>
      <w:r>
        <w:rPr>
          <w:rFonts w:hint="eastAsia" w:ascii="宋体" w:hAnsi="宋体"/>
          <w:sz w:val="30"/>
          <w:szCs w:val="30"/>
          <w:u w:val="single"/>
          <w:lang w:val="en-US" w:eastAsia="zh-CN"/>
        </w:rPr>
        <w:t>巨柏无性繁殖技术规程 第3部分：组培</w:t>
      </w:r>
      <w:r>
        <w:rPr>
          <w:rFonts w:hint="eastAsia" w:ascii="宋体" w:hAnsi="宋体"/>
          <w:sz w:val="30"/>
          <w:szCs w:val="30"/>
          <w:u w:val="single"/>
        </w:rPr>
        <w:t xml:space="preserve"> </w:t>
      </w:r>
      <w:r>
        <w:rPr>
          <w:rFonts w:hint="eastAsia" w:ascii="宋体" w:hAnsi="宋体"/>
          <w:sz w:val="32"/>
          <w:szCs w:val="32"/>
          <w:u w:val="single"/>
        </w:rPr>
        <w:t xml:space="preserve">    </w:t>
      </w:r>
    </w:p>
    <w:p w14:paraId="5E8B42B7">
      <w:pPr>
        <w:spacing w:line="640" w:lineRule="exact"/>
        <w:rPr>
          <w:rFonts w:ascii="宋体" w:hAnsi="宋体"/>
          <w:sz w:val="32"/>
          <w:szCs w:val="32"/>
        </w:rPr>
      </w:pPr>
      <w:r>
        <w:rPr>
          <w:rFonts w:hint="eastAsia" w:ascii="宋体" w:hAnsi="宋体"/>
          <w:b/>
          <w:sz w:val="32"/>
          <w:szCs w:val="32"/>
        </w:rPr>
        <w:t xml:space="preserve">标 准 性 质 ： </w:t>
      </w:r>
      <w:r>
        <w:rPr>
          <w:rFonts w:hint="eastAsia" w:ascii="宋体" w:hAnsi="宋体"/>
          <w:sz w:val="30"/>
          <w:szCs w:val="30"/>
          <w:u w:val="single"/>
        </w:rPr>
        <w:t>推荐性</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60725EB3">
      <w:pPr>
        <w:spacing w:line="640" w:lineRule="exact"/>
        <w:jc w:val="both"/>
        <w:rPr>
          <w:rFonts w:hint="eastAsia" w:ascii="宋体" w:hAnsi="宋体" w:eastAsia="宋体"/>
          <w:sz w:val="30"/>
          <w:szCs w:val="30"/>
          <w:u w:val="single"/>
          <w:lang w:val="en-US" w:eastAsia="zh-CN"/>
        </w:rPr>
      </w:pPr>
      <w:r>
        <w:rPr>
          <w:rFonts w:hint="eastAsia" w:ascii="宋体" w:hAnsi="宋体"/>
          <w:b/>
          <w:sz w:val="32"/>
          <w:szCs w:val="32"/>
        </w:rPr>
        <w:t>项目承担单位：</w:t>
      </w:r>
      <w:r>
        <w:rPr>
          <w:rFonts w:hint="eastAsia" w:ascii="宋体" w:hAnsi="宋体"/>
          <w:b/>
          <w:sz w:val="32"/>
          <w:szCs w:val="32"/>
          <w:lang w:val="en-US" w:eastAsia="zh-CN"/>
        </w:rPr>
        <w:t xml:space="preserve"> </w:t>
      </w:r>
      <w:r>
        <w:rPr>
          <w:rFonts w:hint="eastAsia" w:ascii="宋体" w:hAnsi="宋体"/>
          <w:sz w:val="30"/>
          <w:szCs w:val="30"/>
          <w:u w:val="single"/>
        </w:rPr>
        <w:t>中国电建集团成都勘测设计研究院有限公司</w:t>
      </w:r>
      <w:r>
        <w:rPr>
          <w:rFonts w:hint="eastAsia" w:ascii="宋体" w:hAnsi="宋体"/>
          <w:sz w:val="30"/>
          <w:szCs w:val="30"/>
          <w:u w:val="single"/>
          <w:lang w:val="en-US" w:eastAsia="zh-CN"/>
        </w:rPr>
        <w:t xml:space="preserve"> </w:t>
      </w:r>
    </w:p>
    <w:p w14:paraId="530C66C0">
      <w:pPr>
        <w:spacing w:line="640" w:lineRule="exact"/>
        <w:ind w:firstLine="2400" w:firstLineChars="800"/>
        <w:jc w:val="both"/>
        <w:rPr>
          <w:rFonts w:hint="default" w:ascii="宋体" w:hAnsi="宋体" w:eastAsia="宋体"/>
          <w:sz w:val="30"/>
          <w:szCs w:val="30"/>
          <w:u w:val="single"/>
          <w:lang w:val="en-US" w:eastAsia="zh-CN"/>
        </w:rPr>
      </w:pPr>
      <w:r>
        <w:rPr>
          <w:rFonts w:hint="eastAsia" w:ascii="宋体" w:hAnsi="宋体"/>
          <w:sz w:val="30"/>
          <w:szCs w:val="30"/>
          <w:u w:val="single"/>
        </w:rPr>
        <w:t>四川省林业科学研究院</w:t>
      </w:r>
      <w:r>
        <w:rPr>
          <w:rFonts w:hint="eastAsia" w:ascii="宋体" w:hAnsi="宋体"/>
          <w:sz w:val="30"/>
          <w:szCs w:val="30"/>
          <w:u w:val="single"/>
          <w:lang w:val="en-US" w:eastAsia="zh-CN"/>
        </w:rPr>
        <w:t xml:space="preserve">                   </w:t>
      </w:r>
    </w:p>
    <w:p w14:paraId="38947BFB">
      <w:pPr>
        <w:spacing w:line="640" w:lineRule="exact"/>
        <w:ind w:firstLine="2400" w:firstLineChars="800"/>
        <w:jc w:val="both"/>
        <w:outlineLvl w:val="0"/>
        <w:rPr>
          <w:rFonts w:hint="default" w:ascii="宋体" w:hAnsi="宋体" w:eastAsia="宋体"/>
          <w:sz w:val="30"/>
          <w:szCs w:val="30"/>
          <w:u w:val="single"/>
          <w:lang w:val="en-US" w:eastAsia="zh-CN"/>
        </w:rPr>
      </w:pPr>
      <w:bookmarkStart w:id="5" w:name="_Toc22401"/>
      <w:bookmarkStart w:id="6" w:name="_Toc9195"/>
      <w:bookmarkStart w:id="7" w:name="_Toc24566"/>
      <w:bookmarkStart w:id="8" w:name="_Toc24377"/>
      <w:bookmarkStart w:id="9" w:name="_Toc30879"/>
      <w:r>
        <w:rPr>
          <w:rFonts w:hint="eastAsia" w:ascii="宋体" w:hAnsi="宋体"/>
          <w:sz w:val="30"/>
          <w:szCs w:val="30"/>
          <w:u w:val="single"/>
        </w:rPr>
        <w:t>拉萨市林业和草原局林业勘察设计所</w:t>
      </w:r>
      <w:bookmarkEnd w:id="5"/>
      <w:bookmarkEnd w:id="6"/>
      <w:bookmarkEnd w:id="7"/>
      <w:bookmarkEnd w:id="8"/>
      <w:bookmarkEnd w:id="9"/>
      <w:r>
        <w:rPr>
          <w:rFonts w:hint="eastAsia" w:ascii="宋体" w:hAnsi="宋体"/>
          <w:sz w:val="30"/>
          <w:szCs w:val="30"/>
          <w:u w:val="single"/>
          <w:lang w:val="en-US" w:eastAsia="zh-CN"/>
        </w:rPr>
        <w:t xml:space="preserve">       </w:t>
      </w:r>
    </w:p>
    <w:p w14:paraId="0248CCA0">
      <w:pPr>
        <w:spacing w:line="640" w:lineRule="exact"/>
        <w:ind w:firstLine="643" w:firstLineChars="200"/>
        <w:jc w:val="both"/>
        <w:rPr>
          <w:rFonts w:ascii="宋体" w:hAnsi="宋体"/>
          <w:b/>
          <w:sz w:val="32"/>
          <w:szCs w:val="32"/>
        </w:rPr>
      </w:pPr>
    </w:p>
    <w:p w14:paraId="0A33A288">
      <w:pPr>
        <w:spacing w:line="640" w:lineRule="exact"/>
        <w:ind w:firstLine="643" w:firstLineChars="200"/>
        <w:rPr>
          <w:rFonts w:ascii="宋体" w:hAnsi="宋体"/>
          <w:b/>
          <w:sz w:val="32"/>
          <w:szCs w:val="32"/>
        </w:rPr>
      </w:pPr>
    </w:p>
    <w:p w14:paraId="683F271B">
      <w:pPr>
        <w:spacing w:line="640" w:lineRule="exact"/>
        <w:ind w:firstLine="643" w:firstLineChars="200"/>
        <w:rPr>
          <w:rFonts w:ascii="宋体" w:hAnsi="宋体"/>
          <w:b/>
          <w:sz w:val="32"/>
          <w:szCs w:val="32"/>
        </w:rPr>
      </w:pPr>
    </w:p>
    <w:p w14:paraId="0AE2231F">
      <w:pPr>
        <w:spacing w:line="640" w:lineRule="exact"/>
        <w:ind w:firstLine="643" w:firstLineChars="200"/>
        <w:rPr>
          <w:rFonts w:ascii="宋体" w:hAnsi="宋体"/>
          <w:b/>
          <w:sz w:val="32"/>
          <w:szCs w:val="32"/>
        </w:rPr>
      </w:pPr>
    </w:p>
    <w:p w14:paraId="2F46FABB">
      <w:pPr>
        <w:spacing w:line="640" w:lineRule="exact"/>
        <w:ind w:firstLine="643" w:firstLineChars="200"/>
        <w:rPr>
          <w:rFonts w:ascii="宋体" w:hAnsi="宋体"/>
          <w:b/>
          <w:sz w:val="32"/>
          <w:szCs w:val="32"/>
        </w:rPr>
      </w:pPr>
    </w:p>
    <w:p w14:paraId="47FD36C1">
      <w:pPr>
        <w:spacing w:line="640" w:lineRule="exact"/>
        <w:ind w:firstLine="643" w:firstLineChars="200"/>
        <w:rPr>
          <w:rFonts w:ascii="宋体" w:hAnsi="宋体"/>
          <w:b/>
          <w:sz w:val="32"/>
          <w:szCs w:val="32"/>
        </w:rPr>
      </w:pPr>
    </w:p>
    <w:p w14:paraId="5F77BA5F">
      <w:pPr>
        <w:spacing w:line="640" w:lineRule="exact"/>
        <w:ind w:firstLine="643" w:firstLineChars="200"/>
        <w:rPr>
          <w:rFonts w:hint="eastAsia" w:ascii="宋体" w:hAnsi="宋体"/>
          <w:sz w:val="32"/>
          <w:szCs w:val="32"/>
          <w:u w:val="single"/>
        </w:rPr>
      </w:pPr>
      <w:r>
        <w:rPr>
          <w:rFonts w:hint="eastAsia" w:ascii="宋体" w:hAnsi="宋体"/>
          <w:b/>
          <w:sz w:val="32"/>
          <w:szCs w:val="32"/>
        </w:rPr>
        <w:t xml:space="preserve"> 项目起止时间：</w:t>
      </w:r>
      <w:r>
        <w:rPr>
          <w:rFonts w:hint="eastAsia" w:ascii="宋体" w:hAnsi="宋体"/>
          <w:sz w:val="32"/>
          <w:szCs w:val="32"/>
          <w:u w:val="single"/>
        </w:rPr>
        <w:t>20</w:t>
      </w:r>
      <w:r>
        <w:rPr>
          <w:rFonts w:hint="eastAsia" w:ascii="宋体" w:hAnsi="宋体"/>
          <w:sz w:val="32"/>
          <w:szCs w:val="32"/>
          <w:u w:val="single"/>
          <w:lang w:val="en-US" w:eastAsia="zh-CN"/>
        </w:rPr>
        <w:t>24</w:t>
      </w:r>
      <w:r>
        <w:rPr>
          <w:rFonts w:hint="eastAsia" w:ascii="宋体" w:hAnsi="宋体"/>
          <w:sz w:val="32"/>
          <w:szCs w:val="32"/>
          <w:u w:val="single"/>
        </w:rPr>
        <w:t>年11月-20</w:t>
      </w:r>
      <w:r>
        <w:rPr>
          <w:rFonts w:hint="eastAsia" w:ascii="宋体" w:hAnsi="宋体"/>
          <w:sz w:val="32"/>
          <w:szCs w:val="32"/>
          <w:u w:val="single"/>
          <w:lang w:val="en-US" w:eastAsia="zh-CN"/>
        </w:rPr>
        <w:t>25</w:t>
      </w:r>
      <w:r>
        <w:rPr>
          <w:rFonts w:hint="eastAsia" w:ascii="宋体" w:hAnsi="宋体"/>
          <w:sz w:val="32"/>
          <w:szCs w:val="32"/>
          <w:u w:val="single"/>
        </w:rPr>
        <w:t>年</w:t>
      </w:r>
      <w:r>
        <w:rPr>
          <w:rFonts w:hint="eastAsia" w:ascii="宋体" w:hAnsi="宋体"/>
          <w:sz w:val="32"/>
          <w:szCs w:val="32"/>
          <w:u w:val="single"/>
          <w:lang w:val="en-US" w:eastAsia="zh-CN"/>
        </w:rPr>
        <w:t>11</w:t>
      </w:r>
      <w:r>
        <w:rPr>
          <w:rFonts w:hint="eastAsia" w:ascii="宋体" w:hAnsi="宋体"/>
          <w:sz w:val="32"/>
          <w:szCs w:val="32"/>
          <w:u w:val="single"/>
        </w:rPr>
        <w:t>月</w:t>
      </w:r>
    </w:p>
    <w:p w14:paraId="3C2B83D6">
      <w:pPr>
        <w:spacing w:before="0" w:beforeLines="0" w:after="0" w:afterLines="0" w:line="240" w:lineRule="auto"/>
        <w:ind w:left="0" w:leftChars="0" w:right="0" w:rightChars="0" w:firstLine="0" w:firstLineChars="0"/>
        <w:jc w:val="center"/>
        <w:rPr>
          <w:rFonts w:ascii="宋体" w:hAnsi="宋体" w:eastAsia="宋体" w:cs="MT Extra"/>
          <w:kern w:val="2"/>
          <w:sz w:val="21"/>
          <w:szCs w:val="24"/>
          <w:lang w:val="en-US" w:eastAsia="zh-CN" w:bidi="ar-SA"/>
        </w:rPr>
        <w:sectPr>
          <w:pgSz w:w="11906" w:h="16838"/>
          <w:pgMar w:top="1440" w:right="1800" w:bottom="1440" w:left="1800" w:header="851" w:footer="992" w:gutter="0"/>
          <w:pgNumType w:fmt="decimal"/>
          <w:cols w:space="425" w:num="1"/>
          <w:docGrid w:type="lines" w:linePitch="312" w:charSpace="0"/>
        </w:sectPr>
      </w:pPr>
    </w:p>
    <w:sdt>
      <w:sdtPr>
        <w:rPr>
          <w:rFonts w:ascii="宋体" w:hAnsi="宋体" w:eastAsia="宋体" w:cs="MT Extra"/>
          <w:kern w:val="2"/>
          <w:sz w:val="21"/>
          <w:szCs w:val="24"/>
          <w:lang w:val="en-US" w:eastAsia="zh-CN" w:bidi="ar-SA"/>
        </w:rPr>
        <w:id w:val="147470714"/>
        <w15:color w:val="DBDBDB"/>
        <w:docPartObj>
          <w:docPartGallery w:val="Table of Contents"/>
          <w:docPartUnique/>
        </w:docPartObj>
      </w:sdtPr>
      <w:sdtEndPr>
        <w:rPr>
          <w:rFonts w:ascii="MT Extra" w:hAnsi="MT Extra" w:eastAsia="宋体" w:cs="MT Extra"/>
          <w:kern w:val="2"/>
          <w:sz w:val="21"/>
          <w:szCs w:val="24"/>
          <w:lang w:val="en-US" w:eastAsia="zh-CN" w:bidi="ar-SA"/>
        </w:rPr>
      </w:sdtEndPr>
      <w:sdtContent>
        <w:p w14:paraId="64B2690B">
          <w:pPr>
            <w:spacing w:before="0" w:beforeLines="0" w:after="0" w:afterLines="0" w:line="240" w:lineRule="auto"/>
            <w:ind w:left="0" w:leftChars="0" w:right="0" w:rightChars="0" w:firstLine="0" w:firstLineChars="0"/>
            <w:jc w:val="center"/>
          </w:pPr>
          <w:r>
            <w:rPr>
              <w:rFonts w:ascii="宋体" w:hAnsi="宋体" w:eastAsia="宋体"/>
              <w:sz w:val="21"/>
            </w:rPr>
            <w:t>目录</w:t>
          </w:r>
        </w:p>
        <w:p w14:paraId="7955BB1E">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TOC \o "1-2" \h \u </w:instrText>
          </w:r>
          <w:r>
            <w:rPr>
              <w:rFonts w:hint="default" w:ascii="Times New Roman" w:hAnsi="Times New Roman" w:cs="Times New Roman"/>
            </w:rPr>
            <w:fldChar w:fldCharType="separate"/>
          </w:r>
        </w:p>
        <w:p w14:paraId="59C24A1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_Toc25981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一、 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_Toc25981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4A4F9BF1">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_Toc28095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（一） 任务来源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_Toc28095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7306ADB3">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_Toc30566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（二） 标准名称</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_Toc30566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2BAD5343">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_Toc27739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（三） 标准性质（制订/修订）</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_Toc27739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592C0CAC">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_Toc11311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（四） 编制单位及编制团队</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_Toc11311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4C55E0D1">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_Toc21327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二、 标准编制背景</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_Toc21327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0468C7B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_Toc8710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三、 必要性分析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_Toc8710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20CD6180">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_Toc16842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四、 工作过程及成效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_Toc16842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33271B7C">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_Toc30263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五、 标准的主要内容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_Toc30263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166B2F87">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_Toc14192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六、 标准的编制依据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_Toc14192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6AE17ED9">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_Toc19255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七、 采用国际标准和国外先进标准的程度</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_Toc19255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21E62F84">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_Toc28864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八、 与有关的现行法律、法规和强制性国家标准的关系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_Toc28864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680D6BA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_Toc26614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九、 重大分歧意见的处理经过和依据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_Toc26614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68407533">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_Toc27540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 推广应用前景</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_Toc27540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4CD1EF0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_Toc748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十一、 贯彻地方标准的要求和措施建议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_Toc748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6FF698DB">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_Toc31864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十二、 废止现行有关标准的建议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_Toc31864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32A83891">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_Toc7815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十三、 其他说明</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_Toc7815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1CE76257">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_Toc25588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附件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_Toc25588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488CA4B2">
          <w:pPr>
            <w:rPr>
              <w:rFonts w:ascii="MT Extra" w:hAnsi="MT Extra" w:eastAsia="宋体" w:cs="MT Extra"/>
              <w:kern w:val="2"/>
              <w:sz w:val="21"/>
              <w:szCs w:val="24"/>
              <w:lang w:val="en-US" w:eastAsia="zh-CN" w:bidi="ar-SA"/>
            </w:rPr>
          </w:pPr>
          <w:r>
            <w:rPr>
              <w:rFonts w:hint="default" w:ascii="Times New Roman" w:hAnsi="Times New Roman" w:cs="Times New Roman"/>
            </w:rPr>
            <w:fldChar w:fldCharType="end"/>
          </w:r>
        </w:p>
      </w:sdtContent>
    </w:sdt>
    <w:p w14:paraId="2925F53C">
      <w:pPr>
        <w:rPr>
          <w:rFonts w:ascii="MT Extra" w:hAnsi="MT Extra" w:eastAsia="宋体" w:cs="MT Extra"/>
          <w:kern w:val="2"/>
          <w:sz w:val="21"/>
          <w:szCs w:val="24"/>
          <w:lang w:val="en-US" w:eastAsia="zh-CN" w:bidi="ar-SA"/>
        </w:rPr>
      </w:pPr>
    </w:p>
    <w:p w14:paraId="14D23593">
      <w:pPr>
        <w:spacing w:line="640" w:lineRule="exact"/>
        <w:ind w:firstLine="640" w:firstLineChars="200"/>
        <w:rPr>
          <w:rFonts w:hint="eastAsia" w:ascii="宋体" w:hAnsi="宋体"/>
          <w:sz w:val="32"/>
          <w:szCs w:val="32"/>
          <w:u w:val="single"/>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3F9714D8">
      <w:pPr>
        <w:spacing w:line="640" w:lineRule="exact"/>
        <w:ind w:firstLine="640" w:firstLineChars="200"/>
        <w:rPr>
          <w:rFonts w:hint="eastAsia" w:ascii="宋体" w:hAnsi="宋体"/>
          <w:sz w:val="32"/>
          <w:szCs w:val="32"/>
          <w:u w:val="single"/>
        </w:rPr>
      </w:pPr>
    </w:p>
    <w:p w14:paraId="2DA3E7A3">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10" w:name="_Toc1720"/>
      <w:bookmarkStart w:id="11" w:name="_Toc15754"/>
      <w:bookmarkStart w:id="12" w:name="_Toc25981"/>
      <w:r>
        <w:rPr>
          <w:rFonts w:hint="eastAsia" w:ascii="楷体" w:hAnsi="楷体" w:eastAsia="楷体" w:cs="楷体"/>
          <w:b w:val="0"/>
          <w:bCs w:val="0"/>
          <w:i w:val="0"/>
          <w:iCs w:val="0"/>
          <w:sz w:val="30"/>
          <w:szCs w:val="30"/>
          <w:lang w:val="en-US" w:eastAsia="zh-CN"/>
        </w:rPr>
        <w:t>概况</w:t>
      </w:r>
      <w:bookmarkEnd w:id="10"/>
      <w:bookmarkEnd w:id="11"/>
      <w:bookmarkEnd w:id="12"/>
    </w:p>
    <w:p w14:paraId="35D4029E">
      <w:pPr>
        <w:pStyle w:val="3"/>
        <w:numPr>
          <w:ilvl w:val="0"/>
          <w:numId w:val="4"/>
        </w:numPr>
        <w:bidi w:val="0"/>
        <w:ind w:left="0" w:leftChars="0" w:firstLine="420" w:firstLineChars="0"/>
        <w:rPr>
          <w:rFonts w:hint="eastAsia" w:ascii="楷体" w:hAnsi="楷体" w:eastAsia="楷体" w:cs="楷体"/>
          <w:lang w:val="en-US" w:eastAsia="zh-CN"/>
        </w:rPr>
      </w:pPr>
      <w:bookmarkStart w:id="13" w:name="_Toc25609"/>
      <w:bookmarkStart w:id="14" w:name="_Toc28095"/>
      <w:bookmarkStart w:id="15" w:name="_Toc3364"/>
      <w:r>
        <w:rPr>
          <w:rFonts w:hint="eastAsia" w:ascii="楷体" w:hAnsi="楷体" w:eastAsia="楷体" w:cs="楷体"/>
          <w:lang w:val="en-US" w:eastAsia="zh-CN"/>
        </w:rPr>
        <w:t>任务来源</w:t>
      </w:r>
      <w:bookmarkEnd w:id="13"/>
      <w:bookmarkEnd w:id="14"/>
      <w:bookmarkEnd w:id="15"/>
    </w:p>
    <w:p w14:paraId="0C038BE6">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楷体" w:hAnsi="楷体" w:eastAsia="楷体" w:cs="楷体"/>
          <w:kern w:val="2"/>
          <w:sz w:val="32"/>
          <w:szCs w:val="32"/>
          <w:lang w:val="en-US" w:eastAsia="zh-CN" w:bidi="ar-SA"/>
        </w:rPr>
      </w:pPr>
      <w:r>
        <w:rPr>
          <w:rFonts w:hint="eastAsia" w:ascii="仿宋" w:hAnsi="仿宋" w:eastAsia="仿宋"/>
          <w:sz w:val="32"/>
          <w:szCs w:val="32"/>
        </w:rPr>
        <w:t>《巨柏组培繁育技术规程》地方标准订项目</w:t>
      </w:r>
      <w:r>
        <w:rPr>
          <w:rFonts w:hint="eastAsia" w:ascii="仿宋" w:hAnsi="仿宋" w:eastAsia="仿宋"/>
          <w:sz w:val="32"/>
          <w:szCs w:val="32"/>
          <w:lang w:val="en-US" w:eastAsia="zh-CN"/>
        </w:rPr>
        <w:t>,由西藏自治区林业和草原标准化技术委员会提出并归口。西藏自治区市场监督管理局</w:t>
      </w:r>
      <w:r>
        <w:rPr>
          <w:rFonts w:hint="eastAsia" w:ascii="仿宋" w:hAnsi="仿宋" w:eastAsia="仿宋"/>
          <w:sz w:val="32"/>
          <w:szCs w:val="32"/>
        </w:rPr>
        <w:t>20</w:t>
      </w:r>
      <w:r>
        <w:rPr>
          <w:rFonts w:hint="eastAsia" w:ascii="仿宋" w:hAnsi="仿宋" w:eastAsia="仿宋"/>
          <w:sz w:val="32"/>
          <w:szCs w:val="32"/>
          <w:lang w:val="en-US" w:eastAsia="zh-CN"/>
        </w:rPr>
        <w:t>24</w:t>
      </w:r>
      <w:r>
        <w:rPr>
          <w:rFonts w:hint="eastAsia" w:ascii="仿宋" w:hAnsi="仿宋" w:eastAsia="仿宋"/>
          <w:sz w:val="32"/>
          <w:szCs w:val="32"/>
        </w:rPr>
        <w:t>年第</w:t>
      </w:r>
      <w:r>
        <w:rPr>
          <w:rFonts w:hint="eastAsia" w:ascii="仿宋" w:hAnsi="仿宋" w:eastAsia="仿宋"/>
          <w:sz w:val="32"/>
          <w:szCs w:val="32"/>
          <w:lang w:val="en-US" w:eastAsia="zh-CN"/>
        </w:rPr>
        <w:t>二</w:t>
      </w:r>
      <w:r>
        <w:rPr>
          <w:rFonts w:hint="eastAsia" w:ascii="仿宋" w:hAnsi="仿宋" w:eastAsia="仿宋"/>
          <w:sz w:val="32"/>
          <w:szCs w:val="32"/>
        </w:rPr>
        <w:t>标准制修订计划，项目编号为：X</w:t>
      </w:r>
      <w:r>
        <w:rPr>
          <w:rFonts w:hint="eastAsia" w:ascii="仿宋" w:hAnsi="仿宋" w:eastAsia="仿宋"/>
          <w:sz w:val="32"/>
          <w:szCs w:val="32"/>
          <w:lang w:val="en-US" w:eastAsia="zh-CN"/>
        </w:rPr>
        <w:t>xzb</w:t>
      </w:r>
      <w:r>
        <w:rPr>
          <w:rFonts w:hint="eastAsia" w:ascii="仿宋" w:hAnsi="仿宋" w:eastAsia="仿宋"/>
          <w:sz w:val="32"/>
          <w:szCs w:val="32"/>
        </w:rPr>
        <w:t>-20</w:t>
      </w:r>
      <w:r>
        <w:rPr>
          <w:rFonts w:hint="eastAsia" w:ascii="仿宋" w:hAnsi="仿宋" w:eastAsia="仿宋"/>
          <w:sz w:val="32"/>
          <w:szCs w:val="32"/>
          <w:lang w:val="en-US" w:eastAsia="zh-CN"/>
        </w:rPr>
        <w:t>24112</w:t>
      </w:r>
      <w:r>
        <w:rPr>
          <w:rFonts w:hint="eastAsia" w:ascii="仿宋" w:hAnsi="仿宋" w:eastAsia="仿宋"/>
          <w:sz w:val="32"/>
          <w:szCs w:val="32"/>
        </w:rPr>
        <w:t>。本标准由中国电建集团成都勘测设计研究院有限公司、四川省林业科学研究院、拉萨市林业和草原局林业勘察设计所负责起草。</w:t>
      </w:r>
    </w:p>
    <w:p w14:paraId="301FFF42">
      <w:pPr>
        <w:pStyle w:val="3"/>
        <w:numPr>
          <w:ilvl w:val="0"/>
          <w:numId w:val="4"/>
        </w:numPr>
        <w:bidi w:val="0"/>
        <w:ind w:left="0" w:leftChars="0" w:firstLine="420" w:firstLineChars="0"/>
        <w:rPr>
          <w:rFonts w:hint="eastAsia" w:ascii="楷体" w:hAnsi="楷体" w:eastAsia="楷体" w:cs="楷体"/>
          <w:lang w:val="en-US" w:eastAsia="zh-CN"/>
        </w:rPr>
      </w:pPr>
      <w:bookmarkStart w:id="16" w:name="_Toc31156"/>
      <w:bookmarkStart w:id="17" w:name="_Toc30566"/>
      <w:bookmarkStart w:id="18" w:name="_Toc24983"/>
      <w:r>
        <w:rPr>
          <w:rFonts w:hint="eastAsia" w:ascii="楷体" w:hAnsi="楷体" w:eastAsia="楷体" w:cs="楷体"/>
          <w:lang w:val="en-US" w:eastAsia="zh-CN"/>
        </w:rPr>
        <w:t>标准名称</w:t>
      </w:r>
      <w:bookmarkEnd w:id="16"/>
      <w:bookmarkEnd w:id="17"/>
      <w:bookmarkEnd w:id="18"/>
    </w:p>
    <w:p w14:paraId="24B15AD8">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楷体" w:hAnsi="楷体" w:eastAsia="楷体" w:cs="楷体"/>
          <w:kern w:val="2"/>
          <w:sz w:val="28"/>
          <w:szCs w:val="36"/>
          <w:lang w:val="en-US" w:eastAsia="zh-CN" w:bidi="ar-SA"/>
        </w:rPr>
      </w:pPr>
      <w:r>
        <w:rPr>
          <w:rFonts w:hint="eastAsia" w:ascii="仿宋" w:hAnsi="仿宋" w:eastAsia="仿宋"/>
          <w:sz w:val="32"/>
          <w:szCs w:val="32"/>
        </w:rPr>
        <w:t>本标准</w:t>
      </w:r>
      <w:r>
        <w:rPr>
          <w:rFonts w:hint="eastAsia" w:ascii="仿宋" w:hAnsi="仿宋" w:eastAsia="仿宋"/>
          <w:sz w:val="32"/>
          <w:szCs w:val="32"/>
          <w:lang w:val="en-US" w:eastAsia="zh-CN"/>
        </w:rPr>
        <w:t>立项</w:t>
      </w:r>
      <w:r>
        <w:rPr>
          <w:rFonts w:hint="eastAsia" w:ascii="仿宋" w:hAnsi="仿宋" w:eastAsia="仿宋"/>
          <w:sz w:val="32"/>
          <w:szCs w:val="32"/>
        </w:rPr>
        <w:t>名称为《巨柏组培繁育技术规程》</w:t>
      </w:r>
      <w:r>
        <w:rPr>
          <w:rFonts w:hint="eastAsia" w:ascii="仿宋" w:hAnsi="仿宋" w:eastAsia="仿宋"/>
          <w:sz w:val="32"/>
          <w:szCs w:val="32"/>
          <w:lang w:eastAsia="zh-CN"/>
        </w:rPr>
        <w:t>，</w:t>
      </w:r>
      <w:r>
        <w:rPr>
          <w:rFonts w:hint="eastAsia" w:ascii="仿宋" w:hAnsi="仿宋" w:eastAsia="仿宋"/>
          <w:sz w:val="32"/>
          <w:szCs w:val="32"/>
          <w:lang w:val="en-US" w:eastAsia="zh-CN"/>
        </w:rPr>
        <w:t>现阶段根据复核意见修改为：</w:t>
      </w:r>
      <w:r>
        <w:rPr>
          <w:rFonts w:hint="eastAsia" w:ascii="仿宋" w:hAnsi="仿宋" w:eastAsia="仿宋"/>
          <w:sz w:val="32"/>
          <w:szCs w:val="32"/>
        </w:rPr>
        <w:t>《巨柏无性繁殖技术规程 第3部分：组培》</w:t>
      </w:r>
      <w:r>
        <w:rPr>
          <w:rFonts w:hint="eastAsia" w:ascii="仿宋" w:hAnsi="仿宋" w:eastAsia="仿宋"/>
          <w:sz w:val="32"/>
          <w:szCs w:val="32"/>
          <w:lang w:val="en-US" w:eastAsia="zh-CN"/>
        </w:rPr>
        <w:t>。</w:t>
      </w:r>
    </w:p>
    <w:p w14:paraId="1FF7E11C">
      <w:pPr>
        <w:pStyle w:val="3"/>
        <w:numPr>
          <w:ilvl w:val="0"/>
          <w:numId w:val="4"/>
        </w:numPr>
        <w:bidi w:val="0"/>
        <w:ind w:left="0" w:leftChars="0" w:firstLine="420" w:firstLineChars="0"/>
        <w:rPr>
          <w:rFonts w:hint="eastAsia" w:ascii="楷体" w:hAnsi="楷体" w:eastAsia="楷体" w:cs="楷体"/>
          <w:lang w:val="en-US" w:eastAsia="zh-CN"/>
        </w:rPr>
      </w:pPr>
      <w:bookmarkStart w:id="19" w:name="_Toc13723"/>
      <w:bookmarkStart w:id="20" w:name="_Toc27739"/>
      <w:bookmarkStart w:id="21" w:name="_Toc16023"/>
      <w:r>
        <w:rPr>
          <w:rFonts w:hint="eastAsia" w:ascii="楷体" w:hAnsi="楷体" w:eastAsia="楷体" w:cs="楷体"/>
          <w:lang w:val="en-US" w:eastAsia="zh-CN"/>
        </w:rPr>
        <w:t>标准性质（制订/修订）</w:t>
      </w:r>
      <w:bookmarkEnd w:id="19"/>
      <w:bookmarkEnd w:id="20"/>
      <w:bookmarkEnd w:id="21"/>
    </w:p>
    <w:p w14:paraId="09B41F4E">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rPr>
        <w:t>本标准</w:t>
      </w:r>
      <w:r>
        <w:rPr>
          <w:rFonts w:hint="eastAsia" w:ascii="仿宋" w:hAnsi="仿宋" w:eastAsia="仿宋"/>
          <w:sz w:val="32"/>
          <w:szCs w:val="32"/>
          <w:lang w:val="en-US" w:eastAsia="zh-CN"/>
        </w:rPr>
        <w:t>性质</w:t>
      </w:r>
      <w:r>
        <w:rPr>
          <w:rFonts w:hint="eastAsia" w:ascii="仿宋" w:hAnsi="仿宋" w:eastAsia="仿宋"/>
          <w:sz w:val="32"/>
          <w:szCs w:val="32"/>
        </w:rPr>
        <w:t>为</w:t>
      </w:r>
      <w:r>
        <w:rPr>
          <w:rFonts w:hint="eastAsia" w:ascii="仿宋" w:hAnsi="仿宋" w:eastAsia="仿宋"/>
          <w:sz w:val="32"/>
          <w:szCs w:val="32"/>
          <w:lang w:val="en-US" w:eastAsia="zh-CN"/>
        </w:rPr>
        <w:t>推荐性标准，本次为制订。</w:t>
      </w:r>
    </w:p>
    <w:p w14:paraId="5A616FF8">
      <w:pPr>
        <w:pStyle w:val="3"/>
        <w:numPr>
          <w:ilvl w:val="0"/>
          <w:numId w:val="4"/>
        </w:numPr>
        <w:bidi w:val="0"/>
        <w:ind w:left="0" w:leftChars="0" w:firstLine="420" w:firstLineChars="0"/>
        <w:rPr>
          <w:rFonts w:hint="eastAsia" w:ascii="楷体" w:hAnsi="楷体" w:eastAsia="楷体" w:cs="楷体"/>
          <w:lang w:val="en-US" w:eastAsia="zh-CN"/>
        </w:rPr>
      </w:pPr>
      <w:bookmarkStart w:id="22" w:name="_Toc27644"/>
      <w:bookmarkStart w:id="23" w:name="_Toc14889"/>
      <w:bookmarkStart w:id="24" w:name="_Toc11311"/>
      <w:bookmarkStart w:id="25" w:name="OLE_LINK8"/>
      <w:r>
        <w:rPr>
          <w:rFonts w:hint="eastAsia" w:ascii="楷体" w:hAnsi="楷体" w:eastAsia="楷体" w:cs="楷体"/>
          <w:lang w:val="en-US" w:eastAsia="zh-CN"/>
        </w:rPr>
        <w:t>编制单位及编制团队</w:t>
      </w:r>
      <w:bookmarkEnd w:id="22"/>
      <w:bookmarkEnd w:id="23"/>
      <w:bookmarkEnd w:id="24"/>
      <w:bookmarkEnd w:id="25"/>
    </w:p>
    <w:p w14:paraId="3E267F8D">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rPr>
        <w:t>本标准参加起草主要单位：</w:t>
      </w:r>
      <w:r>
        <w:rPr>
          <w:rFonts w:hint="eastAsia" w:ascii="仿宋" w:hAnsi="仿宋" w:eastAsia="仿宋"/>
          <w:sz w:val="32"/>
          <w:szCs w:val="32"/>
          <w:lang w:val="en-US" w:eastAsia="zh-CN"/>
        </w:rPr>
        <w:t>中国电建集团成都勘测设计研究院有限公司、四川省林业科学研究院、拉萨市林业和草原局林业勘察设计所。</w:t>
      </w:r>
    </w:p>
    <w:p w14:paraId="5FF86139">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本标准主要起草人:马建华、栾丽、姜跃良、左有璐、刘盛赟、胡雪柳、程海燕、唐宇轩、何建良、李丕军、汪诗平。</w:t>
      </w:r>
    </w:p>
    <w:p w14:paraId="30F1DCA1">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本标准编制单位和项目主要编制人员均具有行业标准、地方标准、企业标准等相关编制经验，具备相应的技术实力完成标准编制。</w:t>
      </w:r>
    </w:p>
    <w:p w14:paraId="34466804">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26" w:name="_Toc27378"/>
      <w:bookmarkStart w:id="27" w:name="_Toc10301"/>
      <w:bookmarkStart w:id="28" w:name="_Toc21327"/>
      <w:r>
        <w:rPr>
          <w:rFonts w:hint="eastAsia" w:ascii="楷体" w:hAnsi="楷体" w:eastAsia="楷体" w:cs="楷体"/>
          <w:b w:val="0"/>
          <w:bCs w:val="0"/>
          <w:i w:val="0"/>
          <w:iCs w:val="0"/>
          <w:sz w:val="30"/>
          <w:szCs w:val="30"/>
          <w:lang w:val="en-US" w:eastAsia="zh-CN"/>
        </w:rPr>
        <w:t>标准编制背景</w:t>
      </w:r>
      <w:bookmarkEnd w:id="26"/>
      <w:bookmarkEnd w:id="27"/>
      <w:bookmarkEnd w:id="28"/>
    </w:p>
    <w:p w14:paraId="1F1D1CAC">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巨柏（学名：Cupressus gigantea Cheng et L. K. Fu）是国家一级保护野生植物，已被列入《中国植物红皮书》、《中国生物多样性红色名录-高等植物卷》、《世界自然保护联盟濒危物种红色名录》（IUCN）——易危（VU）种。</w:t>
      </w:r>
    </w:p>
    <w:p w14:paraId="34EBBCD9">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巨柏同时也是雅江特有种。由于国家战略工程的实施，可能造成巨柏资源量的损失。天然分布于中国西藏雅鲁藏布江流域的郎县、米林及林芝等地，甲格以西分布较多，常在海拔3000-3400米地带生于沿江地段的慢滩和有灰石露头的阶地阳坡的中下部，组成稀疏的纯林。根据巨柏年龄情况分析研究，现有雅江分布的巨柏多为100年以上的古树。由于国家战略工程的实施，会造成一定巨柏野生资源的损失。开展巨柏组培技术研究并形成技术标准，能针对性得对每株巨柏古树基因进行定点保护。</w:t>
      </w:r>
    </w:p>
    <w:p w14:paraId="31893E55">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29" w:name="_Toc10121"/>
      <w:bookmarkStart w:id="30" w:name="_Toc12600"/>
      <w:bookmarkStart w:id="31" w:name="_Toc8710"/>
      <w:r>
        <w:rPr>
          <w:rFonts w:hint="eastAsia" w:ascii="楷体" w:hAnsi="楷体" w:eastAsia="楷体" w:cs="楷体"/>
          <w:b w:val="0"/>
          <w:bCs w:val="0"/>
          <w:i w:val="0"/>
          <w:iCs w:val="0"/>
          <w:sz w:val="30"/>
          <w:szCs w:val="30"/>
          <w:lang w:val="en-US" w:eastAsia="zh-CN"/>
        </w:rPr>
        <w:t>必要性分析</w:t>
      </w:r>
      <w:bookmarkEnd w:id="29"/>
      <w:bookmarkEnd w:id="30"/>
      <w:bookmarkEnd w:id="31"/>
    </w:p>
    <w:p w14:paraId="1365BD88">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巨柏是高大乔木，具有良好的观赏价值和园林绿化价值。也可作为雅鲁藏布江下游的造林树种。巨柏组培繁殖能不受外界环境条件和材料的限制，进行全年生产和快速扩繁。开展巨柏组培繁育技术研究并形成技术标准对巨柏植物资源的保护及开发利用具有重要意义。</w:t>
      </w:r>
    </w:p>
    <w:p w14:paraId="539E535A">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32" w:name="_Toc16842"/>
      <w:bookmarkStart w:id="33" w:name="_Toc2368"/>
      <w:bookmarkStart w:id="34" w:name="_Toc6305"/>
      <w:r>
        <w:rPr>
          <w:rFonts w:hint="eastAsia" w:ascii="楷体" w:hAnsi="楷体" w:eastAsia="楷体" w:cs="楷体"/>
          <w:b w:val="0"/>
          <w:bCs w:val="0"/>
          <w:i w:val="0"/>
          <w:iCs w:val="0"/>
          <w:sz w:val="30"/>
          <w:szCs w:val="30"/>
          <w:lang w:val="en-US" w:eastAsia="zh-CN"/>
        </w:rPr>
        <w:t>工作过程及成效</w:t>
      </w:r>
      <w:bookmarkEnd w:id="32"/>
      <w:bookmarkEnd w:id="33"/>
      <w:bookmarkEnd w:id="34"/>
    </w:p>
    <w:p w14:paraId="4350C96E">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bookmarkStart w:id="65" w:name="_GoBack"/>
      <w:bookmarkEnd w:id="65"/>
      <w:r>
        <w:rPr>
          <w:rFonts w:hint="eastAsia" w:ascii="仿宋" w:hAnsi="仿宋" w:eastAsia="仿宋"/>
          <w:sz w:val="32"/>
          <w:szCs w:val="32"/>
          <w:lang w:val="en-US" w:eastAsia="zh-CN"/>
        </w:rPr>
        <w:t>1.建立标准起草组</w:t>
      </w:r>
    </w:p>
    <w:p w14:paraId="0B40084A">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工作组自2019年开始进行巨柏组培繁育技术规程的相关研究工作。工作组针对巨柏组培繁殖技术的各标准环节开展了详细的试验设计。针对巨柏组培的外植体采集部位、采集时间、灭菌方式、初代培养、继代培养、增殖培养、生根培养、炼苗移栽各环节进行了试验条件及配方的筛选。具体见《巨柏组培繁殖技术规程可行性研究报告》。</w:t>
      </w:r>
    </w:p>
    <w:p w14:paraId="0EA93C2A">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2024年形成巨柏组培繁育技术规程，并于2024年4月向西藏自治区林业和草原标准化技术委员会提出立项申请建议。</w:t>
      </w:r>
    </w:p>
    <w:p w14:paraId="463A8E01">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西藏自治区林业和草原标准化技术委员会于2024年5月针对立项建议书开展了审查，审查后统一报送西藏自治区质量技术监督局。</w:t>
      </w:r>
    </w:p>
    <w:p w14:paraId="5E9D1C46">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西藏自治区质量技术监督局于2024年9月组织立项评审会。本标准于2024年11月正式下达立项通知。</w:t>
      </w:r>
    </w:p>
    <w:p w14:paraId="46944AA3">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接到立项通知后，工作组于2024年11月成立了标准编写工作组。针对标准大纲等进行了反复讨论。</w:t>
      </w:r>
    </w:p>
    <w:p w14:paraId="5243C053">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2.形成工作组讨论稿</w:t>
      </w:r>
    </w:p>
    <w:p w14:paraId="3D85FFE3">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依据前期的试验工作情况，标准起草工作组起草编制标准的草案稿。通过召开专家研讨会以及实地调研，明确本标准的范围和名称，确定了巨柏组培繁育的场地要求、培养基配制、组织培养、炼苗移栽及出圃等内容，并形成了工作组讨论稿。</w:t>
      </w:r>
    </w:p>
    <w:p w14:paraId="2C71A36F">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2024年12月21日，西藏自治区林业和草原标准化技术委员会召开技术审查会，与会5名专家及编制组成员，会上对《巨柏繁殖技术规程可行性研究报告》（讨论稿）进行了深入讨论，并提出了29条意见建议。会后编制组成员依据GB/T 1.1—2020《标准化工作导则  第1部分：标准化文件的结构和起草规则》的规定，结合本标准具体情况，对提出的意见逐条进行了讨论和改正，于2025年5月再次报送西藏自治区林业和草原标准化技术委员会。</w:t>
      </w:r>
    </w:p>
    <w:p w14:paraId="40910A05">
      <w:pPr>
        <w:pStyle w:val="21"/>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2025年5月西藏自治区林业和草原标准化技术委员会针对修改稿进行了复核，并提出了20条意见建议。根据意见和建议，结合本标准的具体情况，对提出的意见逐条进行了讨论和改正，并根据专家意见将本单位申请起草的三项巨柏相关标准纳入系列标准，将本标准名称修改为《巨柏无性繁殖技术规程 第3部分：组培》，形成本版讨论稿。后续将根据西藏自治区林业和草原标准化技术委员会及西藏自治区市场监督管理局整体工作安排进行意见征求，形成征求意见稿、送审稿及报批稿。</w:t>
      </w:r>
    </w:p>
    <w:p w14:paraId="0D7EE71D">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35" w:name="_Toc21939"/>
      <w:bookmarkStart w:id="36" w:name="_Toc30263"/>
      <w:bookmarkStart w:id="37" w:name="_Toc25520"/>
      <w:r>
        <w:rPr>
          <w:rFonts w:hint="eastAsia" w:ascii="楷体" w:hAnsi="楷体" w:eastAsia="楷体" w:cs="楷体"/>
          <w:b w:val="0"/>
          <w:bCs w:val="0"/>
          <w:i w:val="0"/>
          <w:iCs w:val="0"/>
          <w:sz w:val="30"/>
          <w:szCs w:val="30"/>
          <w:lang w:val="en-US" w:eastAsia="zh-CN"/>
        </w:rPr>
        <w:t>标准的主要内容</w:t>
      </w:r>
      <w:bookmarkEnd w:id="35"/>
      <w:bookmarkEnd w:id="36"/>
      <w:bookmarkEnd w:id="37"/>
    </w:p>
    <w:p w14:paraId="1D9BECAE">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本文件规定了巨柏组培快繁的场地要求、培养基配制、组织培养、炼苗移栽及出圃、建档等。</w:t>
      </w:r>
    </w:p>
    <w:p w14:paraId="1C5EDF63">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本文件适用于西藏自治区海拔500m～3000m的巨柏组培快繁育苗。</w:t>
      </w:r>
    </w:p>
    <w:p w14:paraId="3330E561">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其中组培关键环节对分别对组培室的操作间、缓冲间、接种室、培养间和炼苗区、苗圃的场地要求做了规定。</w:t>
      </w:r>
    </w:p>
    <w:p w14:paraId="4B8FDDC7">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对培养容器和接种器械的清洗及培养基母液的配制、激素母液配制、初代培养基的配制、继代培养基的配制、生根培养基的配制、培养基灭菌等各环节进行了相应配制药品及配制方法的规定。</w:t>
      </w:r>
    </w:p>
    <w:p w14:paraId="5979FC86">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对外植体来源、采集、预处理、表面消毒及初代培养、继代培养、生根培养各环节具体的材料、培养基、环境要求、培养时间等做了相应规定。</w:t>
      </w:r>
    </w:p>
    <w:p w14:paraId="110DB3C6">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对炼苗、移栽及水分、施肥、病虫害等后期管理各环节的技术要求进行了相应规定。</w:t>
      </w:r>
    </w:p>
    <w:p w14:paraId="588DFB1D">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规定了巨柏苗的出圃要求及质量分级。</w:t>
      </w:r>
    </w:p>
    <w:p w14:paraId="6BE0A6DF">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规定了档案内容及档案记载和保存方式。</w:t>
      </w:r>
    </w:p>
    <w:p w14:paraId="659F22D2">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38" w:name="_Toc14968"/>
      <w:bookmarkStart w:id="39" w:name="_Toc14192"/>
      <w:bookmarkStart w:id="40" w:name="_Toc7839"/>
      <w:r>
        <w:rPr>
          <w:rFonts w:hint="eastAsia" w:ascii="楷体" w:hAnsi="楷体" w:eastAsia="楷体" w:cs="楷体"/>
          <w:b w:val="0"/>
          <w:bCs w:val="0"/>
          <w:i w:val="0"/>
          <w:iCs w:val="0"/>
          <w:sz w:val="30"/>
          <w:szCs w:val="30"/>
          <w:lang w:val="en-US" w:eastAsia="zh-CN"/>
        </w:rPr>
        <w:t>标准的编制依据</w:t>
      </w:r>
      <w:bookmarkEnd w:id="38"/>
      <w:bookmarkEnd w:id="39"/>
      <w:bookmarkEnd w:id="40"/>
    </w:p>
    <w:p w14:paraId="22BDE219">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引用了以下标准及文献：</w:t>
      </w:r>
    </w:p>
    <w:p w14:paraId="7B5D54A1">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GB 5749     生活饮用水卫生标准</w:t>
      </w:r>
    </w:p>
    <w:p w14:paraId="6555B14A">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GB/T 6001   育苗技术规程</w:t>
      </w:r>
    </w:p>
    <w:p w14:paraId="5DBD57C6">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LY/T 1882   林木组织培养育苗技术规程</w:t>
      </w:r>
    </w:p>
    <w:p w14:paraId="28A11E83">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中国科学院中国植物志编辑委员会.中国植物志[M].北京:科学出版社,1993.</w:t>
      </w:r>
    </w:p>
    <w:p w14:paraId="1FA340E1">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41" w:name="_Toc28649"/>
      <w:bookmarkStart w:id="42" w:name="_Toc19255"/>
      <w:bookmarkStart w:id="43" w:name="_Toc6853"/>
      <w:r>
        <w:rPr>
          <w:rFonts w:hint="eastAsia" w:ascii="楷体" w:hAnsi="楷体" w:eastAsia="楷体" w:cs="楷体"/>
          <w:b w:val="0"/>
          <w:bCs w:val="0"/>
          <w:i w:val="0"/>
          <w:iCs w:val="0"/>
          <w:sz w:val="30"/>
          <w:szCs w:val="30"/>
          <w:lang w:val="en-US" w:eastAsia="zh-CN"/>
        </w:rPr>
        <w:t>采用国际标准和国外先进标准的程度</w:t>
      </w:r>
      <w:bookmarkEnd w:id="41"/>
      <w:bookmarkEnd w:id="42"/>
      <w:bookmarkEnd w:id="43"/>
    </w:p>
    <w:p w14:paraId="5EFC0E43">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本标准不涉及对现有国际标准和国外先进标准的采用。</w:t>
      </w:r>
    </w:p>
    <w:p w14:paraId="7688CAD2">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44" w:name="_Toc28864"/>
      <w:bookmarkStart w:id="45" w:name="_Toc18206"/>
      <w:bookmarkStart w:id="46" w:name="_Toc12940"/>
      <w:r>
        <w:rPr>
          <w:rFonts w:hint="eastAsia" w:ascii="楷体" w:hAnsi="楷体" w:eastAsia="楷体" w:cs="楷体"/>
          <w:b w:val="0"/>
          <w:bCs w:val="0"/>
          <w:i w:val="0"/>
          <w:iCs w:val="0"/>
          <w:sz w:val="30"/>
          <w:szCs w:val="30"/>
          <w:lang w:val="en-US" w:eastAsia="zh-CN"/>
        </w:rPr>
        <w:t>与有关的现行法律、法规和强制性国家标准的关系</w:t>
      </w:r>
      <w:bookmarkEnd w:id="44"/>
      <w:bookmarkEnd w:id="45"/>
      <w:bookmarkEnd w:id="46"/>
    </w:p>
    <w:p w14:paraId="5B967928">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本标准与我国的现行法律、法规和强制性标准协调一致，尚未发现本标准与我国有关现行法律、法规和相关强制性标准相冲突。</w:t>
      </w:r>
    </w:p>
    <w:p w14:paraId="04DC4610">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47" w:name="_Toc26614"/>
      <w:bookmarkStart w:id="48" w:name="_Toc10433"/>
      <w:bookmarkStart w:id="49" w:name="_Toc22283"/>
      <w:r>
        <w:rPr>
          <w:rFonts w:hint="eastAsia" w:ascii="楷体" w:hAnsi="楷体" w:eastAsia="楷体" w:cs="楷体"/>
          <w:b w:val="0"/>
          <w:bCs w:val="0"/>
          <w:i w:val="0"/>
          <w:iCs w:val="0"/>
          <w:sz w:val="30"/>
          <w:szCs w:val="30"/>
          <w:lang w:val="en-US" w:eastAsia="zh-CN"/>
        </w:rPr>
        <w:t>重大分歧意见的处理经过和依据</w:t>
      </w:r>
      <w:bookmarkEnd w:id="47"/>
      <w:bookmarkEnd w:id="48"/>
      <w:bookmarkEnd w:id="49"/>
    </w:p>
    <w:p w14:paraId="4C500255">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本标准在制定过程中未出现重大分歧意见。</w:t>
      </w:r>
    </w:p>
    <w:p w14:paraId="5203E9B4">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50" w:name="_Toc27540"/>
      <w:bookmarkStart w:id="51" w:name="_Toc9346"/>
      <w:bookmarkStart w:id="52" w:name="_Toc13451"/>
      <w:r>
        <w:rPr>
          <w:rFonts w:hint="eastAsia" w:ascii="楷体" w:hAnsi="楷体" w:eastAsia="楷体" w:cs="楷体"/>
          <w:b w:val="0"/>
          <w:bCs w:val="0"/>
          <w:i w:val="0"/>
          <w:iCs w:val="0"/>
          <w:sz w:val="30"/>
          <w:szCs w:val="30"/>
          <w:lang w:val="en-US" w:eastAsia="zh-CN"/>
        </w:rPr>
        <w:t>推广应用前景</w:t>
      </w:r>
      <w:bookmarkEnd w:id="50"/>
      <w:bookmarkEnd w:id="51"/>
      <w:bookmarkEnd w:id="52"/>
    </w:p>
    <w:p w14:paraId="5AEC063A">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1、应用于巨柏资源保护</w:t>
      </w:r>
    </w:p>
    <w:p w14:paraId="14581485">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巨柏为国家一级保护植物、雅江特有种，受国家重点工程建设影响，巨柏野生资源收到严重威胁。建立巨柏组培等无性繁殖技术体系，能够定点保护巨柏古树资源，保存其母本基因，为巨柏资源保护提供技术支撑。</w:t>
      </w:r>
    </w:p>
    <w:p w14:paraId="2A43AF30">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2、应用于巨柏的产业化</w:t>
      </w:r>
    </w:p>
    <w:p w14:paraId="3E898FB0">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建立巨柏组培繁殖技术规程，能够不受材料限制，全年开展巨柏的种苗生产，为巨柏的种苗提供提供指导性技术支撑。</w:t>
      </w:r>
    </w:p>
    <w:p w14:paraId="1CD5DF0B">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3、应用于园林绿化及生态修复</w:t>
      </w:r>
    </w:p>
    <w:p w14:paraId="563D6647">
      <w:pPr>
        <w:spacing w:line="576" w:lineRule="exact"/>
        <w:ind w:firstLine="640" w:firstLineChars="200"/>
        <w:rPr>
          <w:rFonts w:hint="eastAsia" w:ascii="楷体" w:hAnsi="楷体" w:eastAsia="楷体" w:cs="楷体"/>
          <w:kern w:val="2"/>
          <w:sz w:val="28"/>
          <w:szCs w:val="36"/>
          <w:lang w:val="en-US" w:eastAsia="zh-CN" w:bidi="ar-SA"/>
        </w:rPr>
      </w:pPr>
      <w:r>
        <w:rPr>
          <w:rFonts w:hint="eastAsia" w:ascii="仿宋" w:hAnsi="仿宋" w:eastAsia="仿宋" w:cs="MT Extra"/>
          <w:kern w:val="2"/>
          <w:sz w:val="32"/>
          <w:szCs w:val="32"/>
          <w:lang w:val="en-US" w:eastAsia="zh-CN" w:bidi="ar-SA"/>
        </w:rPr>
        <w:t>巨柏材质优良，能长成胸径达6米的大树，可作为雅鲁藏布江下游的造林树种。开展巨柏无性繁殖技术研究并形成技术标准，采用不同的无性繁殖方式能不受材料及外界环境限制，快速成苗、造型，进一步形成工程苗应用于园林绿化和生态修复中，将保护和开发有机结合，在巨柏的开发利用中保护巨柏资源。同时，开展巨柏无性繁殖技术研究并形成技术标准有助于生态环境和自然景观的保护。</w:t>
      </w:r>
    </w:p>
    <w:p w14:paraId="60149411">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53" w:name="_Toc748"/>
      <w:bookmarkStart w:id="54" w:name="_Toc19075"/>
      <w:bookmarkStart w:id="55" w:name="_Toc4407"/>
      <w:r>
        <w:rPr>
          <w:rFonts w:hint="eastAsia" w:ascii="楷体" w:hAnsi="楷体" w:eastAsia="楷体" w:cs="楷体"/>
          <w:b w:val="0"/>
          <w:bCs w:val="0"/>
          <w:i w:val="0"/>
          <w:iCs w:val="0"/>
          <w:sz w:val="30"/>
          <w:szCs w:val="30"/>
          <w:lang w:val="en-US" w:eastAsia="zh-CN"/>
        </w:rPr>
        <w:t>贯彻地方标准的要求和措施建议</w:t>
      </w:r>
      <w:bookmarkEnd w:id="53"/>
      <w:bookmarkEnd w:id="54"/>
      <w:bookmarkEnd w:id="55"/>
    </w:p>
    <w:p w14:paraId="0F876D89">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建议相关巨柏保护行业部门、产业化应用部门、生态修复相关部门使用本标准，可促进巨柏的保护、宣传、应用。</w:t>
      </w:r>
    </w:p>
    <w:p w14:paraId="513BC092">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56" w:name="_Toc3808"/>
      <w:bookmarkStart w:id="57" w:name="_Toc9565"/>
      <w:bookmarkStart w:id="58" w:name="_Toc31864"/>
      <w:r>
        <w:rPr>
          <w:rFonts w:hint="eastAsia" w:ascii="楷体" w:hAnsi="楷体" w:eastAsia="楷体" w:cs="楷体"/>
          <w:b w:val="0"/>
          <w:bCs w:val="0"/>
          <w:i w:val="0"/>
          <w:iCs w:val="0"/>
          <w:sz w:val="30"/>
          <w:szCs w:val="30"/>
          <w:lang w:val="en-US" w:eastAsia="zh-CN"/>
        </w:rPr>
        <w:t>废止现行有关标准的建议</w:t>
      </w:r>
      <w:bookmarkEnd w:id="56"/>
      <w:bookmarkEnd w:id="57"/>
      <w:bookmarkEnd w:id="58"/>
    </w:p>
    <w:p w14:paraId="3DA10CB4">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本标准为首次制定，不涉及对现行标准的废止。</w:t>
      </w:r>
    </w:p>
    <w:p w14:paraId="193021F8">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59" w:name="_Toc14825"/>
      <w:bookmarkStart w:id="60" w:name="_Toc11146"/>
      <w:bookmarkStart w:id="61" w:name="_Toc7815"/>
      <w:r>
        <w:rPr>
          <w:rFonts w:hint="eastAsia" w:ascii="楷体" w:hAnsi="楷体" w:eastAsia="楷体" w:cs="楷体"/>
          <w:b w:val="0"/>
          <w:bCs w:val="0"/>
          <w:i w:val="0"/>
          <w:iCs w:val="0"/>
          <w:sz w:val="30"/>
          <w:szCs w:val="30"/>
          <w:lang w:val="en-US" w:eastAsia="zh-CN"/>
        </w:rPr>
        <w:t>其他说明</w:t>
      </w:r>
      <w:bookmarkEnd w:id="59"/>
      <w:bookmarkEnd w:id="60"/>
      <w:bookmarkEnd w:id="61"/>
    </w:p>
    <w:p w14:paraId="4AD85E94">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本部分严格按照GB/T 1.1给出的规则进行起草。</w:t>
      </w:r>
    </w:p>
    <w:p w14:paraId="70ED6E2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300"/>
        <w:textAlignment w:val="auto"/>
        <w:rPr>
          <w:rFonts w:hint="eastAsia" w:ascii="楷体" w:hAnsi="楷体" w:eastAsia="楷体" w:cs="楷体"/>
          <w:kern w:val="2"/>
          <w:sz w:val="28"/>
          <w:szCs w:val="36"/>
          <w:lang w:val="en-US" w:eastAsia="zh-CN" w:bidi="ar-SA"/>
        </w:rPr>
      </w:pPr>
    </w:p>
    <w:p w14:paraId="438BF347">
      <w:pPr>
        <w:pStyle w:val="2"/>
        <w:keepNext/>
        <w:keepLines/>
        <w:pageBreakBefore w:val="0"/>
        <w:widowControl/>
        <w:numPr>
          <w:ilvl w:val="0"/>
          <w:numId w:val="0"/>
        </w:numPr>
        <w:kinsoku/>
        <w:wordWrap/>
        <w:overflowPunct/>
        <w:topLinePunct w:val="0"/>
        <w:autoSpaceDE/>
        <w:autoSpaceDN/>
        <w:bidi w:val="0"/>
        <w:adjustRightInd/>
        <w:snapToGrid/>
        <w:spacing w:before="120" w:beforeLines="0" w:after="120" w:line="360" w:lineRule="auto"/>
        <w:ind w:leftChars="0"/>
        <w:textAlignment w:val="auto"/>
        <w:rPr>
          <w:rFonts w:hint="default" w:ascii="楷体" w:hAnsi="楷体" w:eastAsia="楷体" w:cs="楷体"/>
          <w:b w:val="0"/>
          <w:bCs w:val="0"/>
          <w:i w:val="0"/>
          <w:iCs w:val="0"/>
          <w:sz w:val="30"/>
          <w:szCs w:val="30"/>
          <w:lang w:val="en-US" w:eastAsia="zh-CN"/>
        </w:rPr>
      </w:pPr>
      <w:bookmarkStart w:id="62" w:name="_Toc7380"/>
      <w:bookmarkStart w:id="63" w:name="_Toc28581"/>
      <w:bookmarkStart w:id="64" w:name="_Toc25588"/>
      <w:r>
        <w:rPr>
          <w:rFonts w:hint="eastAsia" w:ascii="楷体" w:hAnsi="楷体" w:eastAsia="楷体" w:cs="楷体"/>
          <w:b w:val="0"/>
          <w:bCs w:val="0"/>
          <w:i w:val="0"/>
          <w:iCs w:val="0"/>
          <w:sz w:val="30"/>
          <w:szCs w:val="30"/>
          <w:lang w:val="en-US" w:eastAsia="zh-CN"/>
        </w:rPr>
        <w:t>附件</w:t>
      </w:r>
      <w:bookmarkEnd w:id="62"/>
      <w:bookmarkEnd w:id="63"/>
      <w:bookmarkEnd w:id="64"/>
    </w:p>
    <w:p w14:paraId="44AE6D40">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附件1：《巨柏组培繁育技术规程地方标准可行性论证报告》</w:t>
      </w:r>
    </w:p>
    <w:p w14:paraId="2FABB797">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附件2：专家意见汇总处理表</w:t>
      </w:r>
    </w:p>
    <w:p w14:paraId="4048EF56">
      <w:pPr>
        <w:spacing w:line="640" w:lineRule="exact"/>
        <w:ind w:firstLine="640" w:firstLineChars="200"/>
        <w:rPr>
          <w:rFonts w:hint="default" w:ascii="宋体" w:hAnsi="宋体" w:eastAsia="宋体"/>
          <w:sz w:val="32"/>
          <w:szCs w:val="32"/>
          <w:u w:val="single"/>
          <w:lang w:val="en-US" w:eastAsia="zh-CN"/>
        </w:rPr>
      </w:pPr>
    </w:p>
    <w:p w14:paraId="521067C2"/>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T Extra">
    <w:panose1 w:val="05050102010205020202"/>
    <w:charset w:val="02"/>
    <w:family w:val="roman"/>
    <w:pitch w:val="default"/>
    <w:sig w:usb0="8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B133E">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1DD96">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E59208">
                          <w:pPr>
                            <w:pStyle w:val="11"/>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8E59208">
                    <w:pPr>
                      <w:pStyle w:val="11"/>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D8477E"/>
    <w:multiLevelType w:val="singleLevel"/>
    <w:tmpl w:val="AFD8477E"/>
    <w:lvl w:ilvl="0" w:tentative="0">
      <w:start w:val="1"/>
      <w:numFmt w:val="chineseCounting"/>
      <w:suff w:val="nothing"/>
      <w:lvlText w:val="%1、"/>
      <w:lvlJc w:val="left"/>
      <w:pPr>
        <w:ind w:left="0" w:firstLine="420"/>
      </w:pPr>
      <w:rPr>
        <w:rFonts w:hint="eastAsia"/>
      </w:rPr>
    </w:lvl>
  </w:abstractNum>
  <w:abstractNum w:abstractNumId="1">
    <w:nsid w:val="DBE54FF0"/>
    <w:multiLevelType w:val="multilevel"/>
    <w:tmpl w:val="DBE54FF0"/>
    <w:lvl w:ilvl="0" w:tentative="0">
      <w:start w:val="1"/>
      <w:numFmt w:val="decimal"/>
      <w:lvlText w:val="%1."/>
      <w:lvlJc w:val="left"/>
      <w:pPr>
        <w:ind w:left="425" w:hanging="425"/>
      </w:pPr>
      <w:rPr>
        <w:rFonts w:hint="default"/>
      </w:rPr>
    </w:lvl>
    <w:lvl w:ilvl="1" w:tentative="0">
      <w:start w:val="1"/>
      <w:numFmt w:val="decimal"/>
      <w:pStyle w:val="3"/>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E91B06C2"/>
    <w:multiLevelType w:val="singleLevel"/>
    <w:tmpl w:val="E91B06C2"/>
    <w:lvl w:ilvl="0" w:tentative="0">
      <w:start w:val="1"/>
      <w:numFmt w:val="chineseCounting"/>
      <w:suff w:val="nothing"/>
      <w:lvlText w:val="（%1）"/>
      <w:lvlJc w:val="left"/>
      <w:pPr>
        <w:ind w:left="0" w:firstLine="420"/>
      </w:pPr>
      <w:rPr>
        <w:rFonts w:hint="eastAsia"/>
      </w:rPr>
    </w:lvl>
  </w:abstractNum>
  <w:abstractNum w:abstractNumId="3">
    <w:nsid w:val="75E43044"/>
    <w:multiLevelType w:val="multilevel"/>
    <w:tmpl w:val="75E43044"/>
    <w:lvl w:ilvl="0" w:tentative="0">
      <w:start w:val="1"/>
      <w:numFmt w:val="decimal"/>
      <w:pStyle w:val="2"/>
      <w:lvlText w:val="%1."/>
      <w:lvlJc w:val="left"/>
      <w:pPr>
        <w:ind w:left="425" w:hanging="425"/>
      </w:pPr>
      <w:rPr>
        <w:rFonts w:hint="default" w:ascii="楷体" w:hAnsi="楷体" w:eastAsia="楷体" w:cs="楷体"/>
      </w:rPr>
    </w:lvl>
    <w:lvl w:ilvl="1" w:tentative="0">
      <w:start w:val="1"/>
      <w:numFmt w:val="decimal"/>
      <w:lvlText w:val="%1.%2."/>
      <w:lvlJc w:val="left"/>
      <w:pPr>
        <w:ind w:left="567" w:hanging="567"/>
      </w:pPr>
      <w:rPr>
        <w:rFonts w:hint="default" w:ascii="微软雅黑" w:hAnsi="微软雅黑" w:eastAsia="微软雅黑"/>
      </w:rPr>
    </w:lvl>
    <w:lvl w:ilvl="2" w:tentative="0">
      <w:start w:val="1"/>
      <w:numFmt w:val="decimal"/>
      <w:pStyle w:val="4"/>
      <w:lvlText w:val="%1.%2.%3."/>
      <w:lvlJc w:val="left"/>
      <w:pPr>
        <w:ind w:left="709" w:hanging="709"/>
      </w:pPr>
      <w:rPr>
        <w:rFonts w:hint="default" w:ascii="微软雅黑" w:hAnsi="微软雅黑" w:eastAsia="微软雅黑"/>
      </w:rPr>
    </w:lvl>
    <w:lvl w:ilvl="3" w:tentative="0">
      <w:start w:val="1"/>
      <w:numFmt w:val="decimal"/>
      <w:pStyle w:val="5"/>
      <w:lvlText w:val="%1.%2.%3.%4."/>
      <w:lvlJc w:val="left"/>
      <w:pPr>
        <w:ind w:left="850" w:hanging="850"/>
      </w:pPr>
      <w:rPr>
        <w:rFonts w:hint="default" w:ascii="微软雅黑" w:hAnsi="微软雅黑" w:eastAsia="微软雅黑"/>
      </w:rPr>
    </w:lvl>
    <w:lvl w:ilvl="4" w:tentative="0">
      <w:start w:val="1"/>
      <w:numFmt w:val="decimal"/>
      <w:pStyle w:val="6"/>
      <w:lvlText w:val="%1.%2.%3.%4.%5."/>
      <w:lvlJc w:val="left"/>
      <w:pPr>
        <w:ind w:left="991" w:hanging="991"/>
      </w:pPr>
      <w:rPr>
        <w:rFonts w:hint="default" w:ascii="微软雅黑" w:hAnsi="微软雅黑" w:eastAsia="微软雅黑"/>
      </w:rPr>
    </w:lvl>
    <w:lvl w:ilvl="5" w:tentative="0">
      <w:start w:val="1"/>
      <w:numFmt w:val="decimal"/>
      <w:pStyle w:val="7"/>
      <w:lvlText w:val="%1.%2.%3.%4.%5.%6."/>
      <w:lvlJc w:val="left"/>
      <w:pPr>
        <w:ind w:left="1134" w:hanging="1134"/>
      </w:pPr>
      <w:rPr>
        <w:rFonts w:hint="default"/>
      </w:rPr>
    </w:lvl>
    <w:lvl w:ilvl="6" w:tentative="0">
      <w:start w:val="1"/>
      <w:numFmt w:val="decimal"/>
      <w:pStyle w:val="8"/>
      <w:lvlText w:val="%1.%2.%3.%4.%5.%6.%7."/>
      <w:lvlJc w:val="left"/>
      <w:pPr>
        <w:ind w:left="1275" w:hanging="1275"/>
      </w:pPr>
      <w:rPr>
        <w:rFonts w:hint="default"/>
      </w:rPr>
    </w:lvl>
    <w:lvl w:ilvl="7" w:tentative="0">
      <w:start w:val="1"/>
      <w:numFmt w:val="decimal"/>
      <w:pStyle w:val="9"/>
      <w:lvlText w:val="%1.%2.%3.%4.%5.%6.%7.%8."/>
      <w:lvlJc w:val="left"/>
      <w:pPr>
        <w:ind w:left="1418" w:hanging="1418"/>
      </w:pPr>
      <w:rPr>
        <w:rFonts w:hint="default"/>
      </w:rPr>
    </w:lvl>
    <w:lvl w:ilvl="8" w:tentative="0">
      <w:start w:val="1"/>
      <w:numFmt w:val="decimal"/>
      <w:pStyle w:val="10"/>
      <w:lvlText w:val="%1.%2.%3.%4.%5.%6.%7.%8.%9."/>
      <w:lvlJc w:val="left"/>
      <w:pPr>
        <w:ind w:left="1558" w:hanging="1558"/>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045923"/>
    <w:rsid w:val="00D01278"/>
    <w:rsid w:val="026B30A4"/>
    <w:rsid w:val="042948F2"/>
    <w:rsid w:val="04BF270D"/>
    <w:rsid w:val="060E78F2"/>
    <w:rsid w:val="098149E3"/>
    <w:rsid w:val="09834B42"/>
    <w:rsid w:val="0B3643CE"/>
    <w:rsid w:val="0E013AA6"/>
    <w:rsid w:val="0FC15C71"/>
    <w:rsid w:val="11CC2846"/>
    <w:rsid w:val="12103BCB"/>
    <w:rsid w:val="129469FC"/>
    <w:rsid w:val="13AF2F6F"/>
    <w:rsid w:val="13CB5B5C"/>
    <w:rsid w:val="16D72F09"/>
    <w:rsid w:val="180715CC"/>
    <w:rsid w:val="2786213D"/>
    <w:rsid w:val="2F89150C"/>
    <w:rsid w:val="31450434"/>
    <w:rsid w:val="32D64F9B"/>
    <w:rsid w:val="37CF1C23"/>
    <w:rsid w:val="39192487"/>
    <w:rsid w:val="3BAC65F9"/>
    <w:rsid w:val="433649CB"/>
    <w:rsid w:val="46113492"/>
    <w:rsid w:val="4DBA715F"/>
    <w:rsid w:val="503B1FAE"/>
    <w:rsid w:val="51812490"/>
    <w:rsid w:val="57586BD2"/>
    <w:rsid w:val="59E3355B"/>
    <w:rsid w:val="5E767EDE"/>
    <w:rsid w:val="69BA3375"/>
    <w:rsid w:val="6D7D4DE5"/>
    <w:rsid w:val="6DB700E5"/>
    <w:rsid w:val="6F156665"/>
    <w:rsid w:val="71DE1BCB"/>
    <w:rsid w:val="7250489D"/>
    <w:rsid w:val="74D05468"/>
    <w:rsid w:val="77F57243"/>
    <w:rsid w:val="7CF577D7"/>
    <w:rsid w:val="7E045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paragraph" w:styleId="2">
    <w:name w:val="heading 1"/>
    <w:next w:val="1"/>
    <w:link w:val="18"/>
    <w:qFormat/>
    <w:uiPriority w:val="0"/>
    <w:pPr>
      <w:keepNext/>
      <w:keepLines/>
      <w:numPr>
        <w:ilvl w:val="0"/>
        <w:numId w:val="1"/>
      </w:numPr>
      <w:tabs>
        <w:tab w:val="left" w:pos="0"/>
      </w:tabs>
      <w:spacing w:before="50" w:beforeLines="50" w:line="288" w:lineRule="auto"/>
      <w:outlineLvl w:val="0"/>
    </w:pPr>
    <w:rPr>
      <w:rFonts w:ascii="Times New Roman" w:hAnsi="Times New Roman" w:eastAsia="黑体" w:cstheme="minorBidi"/>
      <w:b/>
      <w:bCs/>
      <w:kern w:val="44"/>
      <w:sz w:val="32"/>
      <w:szCs w:val="32"/>
    </w:rPr>
  </w:style>
  <w:style w:type="paragraph" w:styleId="3">
    <w:name w:val="heading 2"/>
    <w:next w:val="1"/>
    <w:link w:val="17"/>
    <w:unhideWhenUsed/>
    <w:qFormat/>
    <w:uiPriority w:val="0"/>
    <w:pPr>
      <w:numPr>
        <w:ilvl w:val="1"/>
        <w:numId w:val="2"/>
      </w:numPr>
      <w:tabs>
        <w:tab w:val="left" w:pos="0"/>
      </w:tabs>
      <w:spacing w:before="50" w:beforeLines="50" w:after="50" w:line="288" w:lineRule="auto"/>
      <w:ind w:left="0" w:firstLine="0"/>
      <w:outlineLvl w:val="1"/>
    </w:pPr>
    <w:rPr>
      <w:rFonts w:ascii="Times New Roman" w:hAnsi="Times New Roman" w:eastAsia="黑体" w:cs="Times New Roman"/>
      <w:bCs/>
      <w:kern w:val="2"/>
      <w:sz w:val="28"/>
      <w:szCs w:val="28"/>
      <w:lang w:val="en-US" w:eastAsia="zh-CN" w:bidi="ar-SA"/>
    </w:rPr>
  </w:style>
  <w:style w:type="paragraph" w:styleId="4">
    <w:name w:val="heading 3"/>
    <w:next w:val="1"/>
    <w:link w:val="19"/>
    <w:semiHidden/>
    <w:unhideWhenUsed/>
    <w:qFormat/>
    <w:uiPriority w:val="0"/>
    <w:pPr>
      <w:numPr>
        <w:ilvl w:val="2"/>
        <w:numId w:val="1"/>
      </w:numPr>
      <w:tabs>
        <w:tab w:val="left" w:pos="312"/>
      </w:tabs>
      <w:spacing w:before="120" w:after="120"/>
      <w:ind w:left="709" w:hanging="709"/>
      <w:outlineLvl w:val="2"/>
    </w:pPr>
    <w:rPr>
      <w:rFonts w:ascii="Arial" w:hAnsi="Arial" w:eastAsia="黑体" w:cstheme="minorBidi"/>
      <w:kern w:val="2"/>
      <w:sz w:val="24"/>
      <w:szCs w:val="24"/>
    </w:rPr>
  </w:style>
  <w:style w:type="paragraph" w:styleId="5">
    <w:name w:val="heading 4"/>
    <w:next w:val="1"/>
    <w:link w:val="20"/>
    <w:semiHidden/>
    <w:unhideWhenUsed/>
    <w:qFormat/>
    <w:uiPriority w:val="0"/>
    <w:pPr>
      <w:numPr>
        <w:ilvl w:val="3"/>
        <w:numId w:val="1"/>
      </w:numPr>
      <w:ind w:left="850" w:hanging="850"/>
      <w:outlineLvl w:val="3"/>
    </w:pPr>
    <w:rPr>
      <w:rFonts w:ascii="Arial" w:hAnsi="Arial" w:eastAsia="宋体" w:cstheme="minorBidi"/>
      <w:sz w:val="24"/>
      <w:szCs w:val="24"/>
    </w:rPr>
  </w:style>
  <w:style w:type="paragraph" w:styleId="6">
    <w:name w:val="heading 5"/>
    <w:basedOn w:val="1"/>
    <w:next w:val="1"/>
    <w:semiHidden/>
    <w:unhideWhenUsed/>
    <w:qFormat/>
    <w:uiPriority w:val="0"/>
    <w:pPr>
      <w:keepNext/>
      <w:keepLines/>
      <w:numPr>
        <w:ilvl w:val="4"/>
        <w:numId w:val="1"/>
      </w:numPr>
      <w:ind w:left="991" w:hanging="991" w:firstLineChars="0"/>
      <w:outlineLvl w:val="4"/>
    </w:pPr>
    <w:rPr>
      <w:rFonts w:ascii="Times New Roman" w:hAnsi="Times New Roman" w:eastAsia="宋体"/>
      <w:b/>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5" w:hanging="1275"/>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8" w:hanging="1558"/>
      <w:outlineLvl w:val="8"/>
    </w:pPr>
    <w:rPr>
      <w:rFonts w:ascii="Arial" w:hAnsi="Arial" w:eastAsia="黑体"/>
      <w:sz w:val="21"/>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character" w:customStyle="1" w:styleId="17">
    <w:name w:val="标题 2 字符"/>
    <w:link w:val="3"/>
    <w:autoRedefine/>
    <w:qFormat/>
    <w:uiPriority w:val="0"/>
    <w:rPr>
      <w:rFonts w:ascii="Times New Roman" w:hAnsi="Times New Roman" w:eastAsia="黑体" w:cs="Times New Roman"/>
      <w:bCs/>
      <w:kern w:val="2"/>
      <w:sz w:val="28"/>
      <w:szCs w:val="28"/>
      <w:lang w:val="en-US" w:eastAsia="zh-CN" w:bidi="ar-SA"/>
    </w:rPr>
  </w:style>
  <w:style w:type="character" w:customStyle="1" w:styleId="18">
    <w:name w:val="标题 1 字符"/>
    <w:link w:val="2"/>
    <w:qFormat/>
    <w:uiPriority w:val="9"/>
    <w:rPr>
      <w:rFonts w:ascii="Times New Roman" w:hAnsi="Times New Roman" w:eastAsia="黑体" w:cstheme="minorBidi"/>
      <w:b/>
      <w:bCs/>
      <w:kern w:val="44"/>
      <w:sz w:val="32"/>
      <w:szCs w:val="32"/>
    </w:rPr>
  </w:style>
  <w:style w:type="character" w:customStyle="1" w:styleId="19">
    <w:name w:val="标题 3 字符"/>
    <w:link w:val="4"/>
    <w:qFormat/>
    <w:uiPriority w:val="0"/>
    <w:rPr>
      <w:rFonts w:ascii="Arial" w:hAnsi="Arial" w:eastAsia="黑体" w:cstheme="minorBidi"/>
      <w:kern w:val="2"/>
      <w:sz w:val="24"/>
      <w:szCs w:val="24"/>
    </w:rPr>
  </w:style>
  <w:style w:type="character" w:customStyle="1" w:styleId="20">
    <w:name w:val="标题 4 字符"/>
    <w:link w:val="5"/>
    <w:qFormat/>
    <w:uiPriority w:val="0"/>
    <w:rPr>
      <w:rFonts w:ascii="Arial" w:hAnsi="Arial" w:eastAsia="宋体" w:cstheme="minorBidi"/>
      <w:sz w:val="24"/>
      <w:szCs w:val="24"/>
    </w:rPr>
  </w:style>
  <w:style w:type="paragraph" w:customStyle="1" w:styleId="21">
    <w:name w:val="列出段落2"/>
    <w:basedOn w:val="1"/>
    <w:unhideWhenUsed/>
    <w:qFormat/>
    <w:uiPriority w:val="99"/>
    <w:pPr>
      <w:ind w:firstLine="420" w:firstLineChars="200"/>
    </w:pPr>
  </w:style>
  <w:style w:type="paragraph" w:customStyle="1" w:styleId="22">
    <w:name w:val="WPSOffice手动目录 1"/>
    <w:qFormat/>
    <w:uiPriority w:val="0"/>
    <w:pPr>
      <w:ind w:leftChars="0"/>
    </w:pPr>
    <w:rPr>
      <w:rFonts w:asciiTheme="minorHAnsi" w:hAnsiTheme="minorHAnsi" w:eastAsiaTheme="minorEastAsia" w:cstheme="minorBidi"/>
      <w:sz w:val="20"/>
      <w:szCs w:val="20"/>
    </w:rPr>
  </w:style>
  <w:style w:type="paragraph" w:customStyle="1" w:styleId="23">
    <w:name w:val="WPSOffice手动目录 2"/>
    <w:qFormat/>
    <w:uiPriority w:val="0"/>
    <w:pPr>
      <w:ind w:leftChars="200"/>
    </w:pPr>
    <w:rPr>
      <w:rFonts w:asciiTheme="minorHAnsi" w:hAnsiTheme="minorHAnsi" w:eastAsiaTheme="minorEastAsia" w:cstheme="minorBidi"/>
      <w:sz w:val="20"/>
      <w:szCs w:val="20"/>
    </w:rPr>
  </w:style>
  <w:style w:type="paragraph" w:customStyle="1" w:styleId="24">
    <w:name w:val="WPSOffice手动目录 3"/>
    <w:qFormat/>
    <w:uiPriority w:val="0"/>
    <w:pPr>
      <w:ind w:leftChars="400"/>
    </w:pPr>
    <w:rPr>
      <w:rFonts w:asciiTheme="minorHAnsi" w:hAnsiTheme="minorHAnsi" w:eastAsiaTheme="minorEastAsia" w:cstheme="minorBidi"/>
      <w:sz w:val="20"/>
      <w:szCs w:val="20"/>
    </w:rPr>
  </w:style>
  <w:style w:type="paragraph" w:customStyle="1" w:styleId="2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2470</Words>
  <Characters>2587</Characters>
  <Lines>0</Lines>
  <Paragraphs>0</Paragraphs>
  <TotalTime>0</TotalTime>
  <ScaleCrop>false</ScaleCrop>
  <LinksUpToDate>false</LinksUpToDate>
  <CharactersWithSpaces>2753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2025-05-20T01:47:00Z</dcterms:created>
  <dc:creator>ff</dc:creator>
  <cp:lastModifiedBy>ff</cp:lastModifiedBy>
  <dcterms:modified xsi:type="dcterms:W3CDTF">2025-05-20T08:08:49Z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A8598187872C40839C79014CCA01784D_11</vt:lpwstr>
  </property>
  <property fmtid="{D5CDD505-2E9C-101B-9397-08002B2CF9AE}" pid="4" name="KSOTemplateDocerSaveRecord">
    <vt:lpwstr>eyJoZGlkIjoiNTZjMjYyZTQzNGQ0YzUwMmQxYTJkNzZjNDI1YjA3NTIiLCJ1c2VySWQiOiI0NTkwMjYyMTUifQ==</vt:lpwstr>
  </property>
</Properties>
</file>